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header9.xml" ContentType="application/vnd.openxmlformats-officedocument.wordprocessingml.header+xml"/>
  <Override PartName="/word/header8.xml" ContentType="application/vnd.openxmlformats-officedocument.wordprocessingml.header+xml"/>
  <Override PartName="/word/header11.xml" ContentType="application/vnd.openxmlformats-officedocument.wordprocessingml.header+xml"/>
  <Override PartName="/word/header10.xml" ContentType="application/vnd.openxmlformats-officedocument.wordprocessingml.header+xml"/>
  <Override PartName="/word/header7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284" w:hanging="0"/>
        <w:jc w:val="right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4" w:hanging="0"/>
        <w:jc w:val="right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4" w:hanging="0"/>
        <w:jc w:val="right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4" w:hanging="0"/>
        <w:jc w:val="right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3" w:hanging="0"/>
        <w:jc w:val="center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3" w:hanging="0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sz w:val="28"/>
        </w:rPr>
      </w:pPr>
      <w:r>
        <w:rPr>
          <w:rFonts w:eastAsia="Calibri"/>
          <w:b/>
          <w:sz w:val="28"/>
        </w:rPr>
        <w:t>Технические требования на выполнение работ</w:t>
      </w:r>
    </w:p>
    <w:p>
      <w:pPr>
        <w:pStyle w:val="Normal"/>
        <w:ind w:right="283" w:hanging="0"/>
        <w:jc w:val="center"/>
        <w:rPr>
          <w:sz w:val="28"/>
        </w:rPr>
      </w:pPr>
      <w:r>
        <w:rPr>
          <w:rFonts w:eastAsia="Calibri"/>
          <w:b/>
          <w:sz w:val="28"/>
        </w:rPr>
        <w:t>«ОКПД2 33.12.19.000 Выполнение работ по ремонту подшипников газотурбинных установок для нужд филиала Якутская ГРЭС в рамках ремонтной программы».</w:t>
      </w:r>
    </w:p>
    <w:p>
      <w:pPr>
        <w:pStyle w:val="Normal"/>
        <w:ind w:right="283" w:hanging="0"/>
        <w:jc w:val="center"/>
        <w:rPr>
          <w:rFonts w:eastAsia="Calibri"/>
          <w:b/>
          <w:sz w:val="28"/>
        </w:rPr>
      </w:pPr>
      <w:r>
        <w:rPr/>
      </w:r>
      <w:r>
        <w:br w:type="page"/>
      </w:r>
    </w:p>
    <w:p>
      <w:pPr>
        <w:pStyle w:val="Normal"/>
        <w:jc w:val="center"/>
        <w:rPr>
          <w:szCs w:val="24"/>
        </w:rPr>
      </w:pPr>
      <w:r>
        <w:rPr>
          <w:b/>
          <w:szCs w:val="24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r>
            <w:fldChar w:fldCharType="begin"/>
          </w:r>
          <w:r>
            <w:rPr>
              <w:rStyle w:val="Style16"/>
            </w:rPr>
            <w:instrText xml:space="preserve"> TOC \o "1-4" \h</w:instrText>
          </w:r>
          <w:r>
            <w:rPr>
              <w:rStyle w:val="Style16"/>
            </w:rPr>
            <w:fldChar w:fldCharType="separate"/>
          </w:r>
          <w:hyperlink w:anchor="__RefHeading___Toc12236_2593447515">
            <w:r>
              <w:rPr>
                <w:rStyle w:val="Style16"/>
              </w:rPr>
              <w:t>1. Общие сведения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12248_2593447515">
            <w:r>
              <w:rPr>
                <w:rStyle w:val="Style16"/>
              </w:rPr>
              <w:t xml:space="preserve">2. </w:t>
            </w:r>
            <w:r>
              <w:rPr>
                <w:rStyle w:val="Style16"/>
                <w:iCs/>
              </w:rPr>
              <w:t>Требования к продукции</w:t>
            </w:r>
            <w:r>
              <w:rPr>
                <w:rStyle w:val="Style16"/>
              </w:rPr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12266_2593447515">
            <w:r>
              <w:rPr>
                <w:rStyle w:val="Style16"/>
              </w:rPr>
              <w:t>3. Требования к документации по ценообразованию на этапе закупки</w:t>
              <w:tab/>
              <w:t>14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12268_2593447515">
            <w:r>
              <w:rPr>
                <w:rStyle w:val="Style16"/>
              </w:rPr>
              <w:t>4. Требования к документации по ценообразованию на этапе заключения (исполнения) договора</w:t>
              <w:tab/>
              <w:t>14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12278_2593447515">
            <w:r>
              <w:rPr>
                <w:rStyle w:val="Style16"/>
              </w:rPr>
              <w:t xml:space="preserve">5. </w:t>
            </w:r>
            <w:r>
              <w:rPr>
                <w:rStyle w:val="Style16"/>
                <w:iCs/>
              </w:rPr>
              <w:t>Приложения</w:t>
            </w:r>
            <w:r>
              <w:rPr>
                <w:rStyle w:val="Style16"/>
              </w:rPr>
              <w:tab/>
              <w:t>14</w:t>
            </w:r>
          </w:hyperlink>
          <w:r>
            <w:rPr>
              <w:rStyle w:val="Style16"/>
            </w:rPr>
            <w:fldChar w:fldCharType="end"/>
          </w:r>
        </w:p>
      </w:sdtContent>
    </w:sdt>
    <w:p>
      <w:pPr>
        <w:pStyle w:val="Heading2"/>
        <w:numPr>
          <w:ilvl w:val="0"/>
        </w:numPr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Cs w:val="24"/>
        </w:rPr>
      </w:pPr>
      <w:r>
        <w:rPr>
          <w:rFonts w:eastAsia="Calibri"/>
          <w:b/>
          <w:i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sz w:val="24"/>
          <w:szCs w:val="24"/>
        </w:rPr>
      </w:pPr>
      <w:bookmarkStart w:id="0" w:name="__RefHeading___Toc12236_2593447515"/>
      <w:bookmarkStart w:id="1" w:name="_Toc51339692"/>
      <w:bookmarkStart w:id="2" w:name="_Toc124950346"/>
      <w:bookmarkEnd w:id="0"/>
      <w:r>
        <w:rPr>
          <w:sz w:val="24"/>
          <w:szCs w:val="24"/>
          <w:lang w:val="ru-RU"/>
        </w:rPr>
        <w:t>Общие сведения</w:t>
      </w:r>
      <w:bookmarkEnd w:id="1"/>
      <w:bookmarkEnd w:id="2"/>
    </w:p>
    <w:p>
      <w:pPr>
        <w:pStyle w:val="Heading4"/>
        <w:numPr>
          <w:ilvl w:val="1"/>
          <w:numId w:val="3"/>
        </w:numPr>
        <w:jc w:val="center"/>
        <w:rPr/>
      </w:pPr>
      <w:bookmarkStart w:id="3" w:name="__RefHeading___Toc12238_2593447515"/>
      <w:bookmarkStart w:id="4" w:name="_Toc46743505"/>
      <w:bookmarkStart w:id="5" w:name="_Toc124950347"/>
      <w:bookmarkEnd w:id="3"/>
      <w:r>
        <w:rPr/>
        <w:t>Обозначения и сокращения</w:t>
      </w:r>
      <w:bookmarkEnd w:id="4"/>
      <w:bookmarkEnd w:id="5"/>
    </w:p>
    <w:p>
      <w:pPr>
        <w:pStyle w:val="Normal"/>
        <w:rPr>
          <w:szCs w:val="24"/>
          <w:lang w:val="x-none" w:eastAsia="x-none"/>
        </w:rPr>
      </w:pPr>
      <w:r>
        <w:rPr>
          <w:szCs w:val="24"/>
          <w:lang w:val="x-none" w:eastAsia="x-none"/>
        </w:rPr>
      </w:r>
    </w:p>
    <w:p>
      <w:pPr>
        <w:pStyle w:val="Normal"/>
        <w:rPr>
          <w:szCs w:val="24"/>
          <w:lang w:val="x-none" w:eastAsia="x-none"/>
        </w:rPr>
      </w:pPr>
      <w:r>
        <w:rPr>
          <w:szCs w:val="24"/>
          <w:lang w:val="x-none" w:eastAsia="x-none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Cs w:val="24"/>
              </w:rPr>
            </w:pPr>
            <w:r>
              <w:rPr>
                <w:i/>
                <w:szCs w:val="24"/>
              </w:rPr>
              <w:t>Технические требования</w:t>
            </w:r>
            <w:r>
              <w:rPr>
                <w:szCs w:val="24"/>
              </w:rPr>
              <w:t>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ЯГРЭС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i/>
                <w:szCs w:val="24"/>
              </w:rPr>
              <w:t>Якутская государственная районная электрическая станция</w:t>
            </w:r>
            <w:r>
              <w:rPr>
                <w:szCs w:val="24"/>
              </w:rPr>
              <w:t>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i/>
                <w:szCs w:val="24"/>
              </w:rPr>
              <w:t>Проект производства работ</w:t>
            </w:r>
            <w:r>
              <w:rPr>
                <w:szCs w:val="24"/>
              </w:rPr>
              <w:t>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ОППР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i/>
                <w:szCs w:val="24"/>
              </w:rPr>
              <w:t>Отдел планирования и подготовки ремонта</w:t>
            </w:r>
            <w:r>
              <w:rPr>
                <w:szCs w:val="24"/>
              </w:rPr>
              <w:t>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ВОР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i/>
                <w:szCs w:val="24"/>
              </w:rPr>
              <w:t>Ведомость объемов работ;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ГТУ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i/>
                <w:szCs w:val="24"/>
              </w:rPr>
              <w:t>Газотурбинная установка.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i/>
                <w:i/>
                <w:szCs w:val="24"/>
              </w:rPr>
            </w:pPr>
            <w:r>
              <w:rPr>
                <w:i/>
                <w:szCs w:val="24"/>
              </w:rPr>
            </w:r>
          </w:p>
        </w:tc>
      </w:tr>
    </w:tbl>
    <w:p>
      <w:pPr>
        <w:pStyle w:val="Normal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rPr>
          <w:bCs/>
          <w:i/>
          <w:i/>
          <w:iCs/>
          <w:szCs w:val="24"/>
          <w:shd w:fill="FFFF99" w:val="clear"/>
        </w:rPr>
      </w:pPr>
      <w:r>
        <w:rPr>
          <w:bCs/>
          <w:i/>
          <w:iCs/>
          <w:szCs w:val="24"/>
          <w:shd w:fill="FFFF99" w:val="clear"/>
        </w:rPr>
      </w:r>
    </w:p>
    <w:p>
      <w:pPr>
        <w:pStyle w:val="Heading4"/>
        <w:numPr>
          <w:ilvl w:val="1"/>
          <w:numId w:val="3"/>
        </w:numPr>
        <w:rPr/>
      </w:pPr>
      <w:bookmarkStart w:id="6" w:name="__RefHeading___Toc12240_2593447515"/>
      <w:bookmarkStart w:id="7" w:name="_Toc124950348"/>
      <w:bookmarkStart w:id="8" w:name="_Toc46743506"/>
      <w:bookmarkEnd w:id="6"/>
      <w:r>
        <w:rPr/>
        <w:t>Наименование закупаемой продукции</w:t>
      </w:r>
      <w:bookmarkEnd w:id="7"/>
      <w:bookmarkEnd w:id="8"/>
    </w:p>
    <w:p>
      <w:pPr>
        <w:pStyle w:val="Normal"/>
        <w:jc w:val="both"/>
        <w:rPr>
          <w:szCs w:val="24"/>
        </w:rPr>
      </w:pPr>
      <w:r>
        <w:rPr>
          <w:szCs w:val="24"/>
        </w:rPr>
        <w:t>Выполнение работ по ремонту подшипников газотурбинных установок для нужд филиала Якутская ГРЭС в рамках ремонтной программы.</w:t>
      </w:r>
      <w:bookmarkStart w:id="9" w:name="_Toc124950349"/>
    </w:p>
    <w:p>
      <w:pPr>
        <w:pStyle w:val="Normal"/>
        <w:jc w:val="both"/>
        <w:rPr>
          <w:szCs w:val="24"/>
        </w:rPr>
      </w:pPr>
      <w:r>
        <w:rPr>
          <w:szCs w:val="24"/>
        </w:rPr>
        <w:t xml:space="preserve">ОКПД-2: 33.12.19.000. 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ОКВЭД-2: 33.12.</w:t>
      </w:r>
    </w:p>
    <w:p>
      <w:pPr>
        <w:pStyle w:val="Heading4"/>
        <w:numPr>
          <w:ilvl w:val="1"/>
          <w:numId w:val="3"/>
        </w:numPr>
        <w:rPr/>
      </w:pPr>
      <w:bookmarkStart w:id="10" w:name="__RefHeading___Toc12242_2593447515"/>
      <w:bookmarkStart w:id="11" w:name="_Toc46743507"/>
      <w:bookmarkEnd w:id="10"/>
      <w:r>
        <w:rPr/>
        <w:t xml:space="preserve">Цель </w:t>
      </w:r>
      <w:bookmarkEnd w:id="11"/>
      <w:r>
        <w:rPr/>
        <w:t>выполнения работ</w:t>
      </w:r>
      <w:bookmarkEnd w:id="9"/>
      <w:r>
        <w:rPr/>
        <w:t xml:space="preserve"> 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Ремонт подшипников газотурбинных установок для нужд филиала Якутская ГРЭС.</w:t>
      </w:r>
    </w:p>
    <w:p>
      <w:pPr>
        <w:pStyle w:val="Heading4"/>
        <w:numPr>
          <w:ilvl w:val="1"/>
          <w:numId w:val="3"/>
        </w:numPr>
        <w:rPr/>
      </w:pPr>
      <w:bookmarkStart w:id="12" w:name="__RefHeading___Toc12244_2593447515"/>
      <w:bookmarkStart w:id="13" w:name="_Toc46743508"/>
      <w:bookmarkStart w:id="14" w:name="_Toc124950350"/>
      <w:bookmarkEnd w:id="12"/>
      <w:r>
        <w:rPr/>
        <w:t>Существующее положение</w:t>
      </w:r>
      <w:bookmarkEnd w:id="13"/>
      <w:bookmarkEnd w:id="14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bookmarkStart w:id="15" w:name="__RefHeading___Toc12246_2593447515"/>
      <w:bookmarkStart w:id="16" w:name="_Toc124950351"/>
      <w:bookmarkEnd w:id="15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16"/>
    </w:p>
    <w:p>
      <w:pPr>
        <w:pStyle w:val="Normal"/>
        <w:rPr>
          <w:szCs w:val="24"/>
          <w:lang w:eastAsia="x-none"/>
        </w:rPr>
      </w:pPr>
      <w:r>
        <w:rPr>
          <w:szCs w:val="24"/>
          <w:lang w:eastAsia="x-none"/>
        </w:rPr>
      </w:r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7"/>
        <w:gridCol w:w="2297"/>
        <w:gridCol w:w="2410"/>
        <w:gridCol w:w="2821"/>
        <w:gridCol w:w="1573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объекта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Cs w:val="24"/>
              </w:rPr>
              <w:t>(место производства работ)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Примечания</w:t>
            </w:r>
          </w:p>
        </w:tc>
      </w:tr>
      <w:tr>
        <w:trPr>
          <w:trHeight w:val="567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>
        <w:trPr>
          <w:trHeight w:val="2130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jc w:val="center"/>
              <w:rPr/>
            </w:pPr>
            <w:r>
              <w:rPr/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 xml:space="preserve">Якутская ГРЭС </w:t>
            </w:r>
          </w:p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ПАО «Якутскэнерго»;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677004, Республика Саха (Якутия), г. Якутск, Кржижановского, 2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ГТЭ-45-3 ст.№</w:t>
            </w:r>
            <w:r>
              <w:rPr>
                <w:i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szCs w:val="24"/>
              </w:rPr>
            </w:pPr>
            <w:r>
              <w:rPr>
                <w:i/>
                <w:szCs w:val="24"/>
              </w:rPr>
            </w:r>
          </w:p>
        </w:tc>
      </w:tr>
    </w:tbl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Heading1"/>
        <w:keepLines/>
        <w:numPr>
          <w:ilvl w:val="0"/>
          <w:numId w:val="3"/>
        </w:numPr>
        <w:spacing w:before="240" w:after="240"/>
        <w:ind w:left="357" w:hanging="357"/>
        <w:jc w:val="center"/>
        <w:rPr>
          <w:sz w:val="24"/>
          <w:szCs w:val="24"/>
        </w:rPr>
      </w:pPr>
      <w:bookmarkStart w:id="17" w:name="__RefHeading___Toc12248_2593447515"/>
      <w:bookmarkEnd w:id="17"/>
      <w:r>
        <w:rPr>
          <w:iCs/>
          <w:sz w:val="24"/>
          <w:szCs w:val="24"/>
        </w:rPr>
        <w:t>Требования к продукции</w:t>
      </w:r>
    </w:p>
    <w:p>
      <w:pPr>
        <w:pStyle w:val="Heading4"/>
        <w:numPr>
          <w:ilvl w:val="1"/>
          <w:numId w:val="3"/>
        </w:numPr>
        <w:rPr/>
      </w:pPr>
      <w:bookmarkStart w:id="18" w:name="__RefHeading___Toc12250_2593447515"/>
      <w:bookmarkStart w:id="19" w:name="_Toc124950353"/>
      <w:bookmarkEnd w:id="18"/>
      <w:r>
        <w:rPr/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19"/>
    </w:p>
    <w:p>
      <w:pPr>
        <w:pStyle w:val="Heading3"/>
        <w:numPr>
          <w:ilvl w:val="2"/>
          <w:numId w:val="3"/>
        </w:numPr>
        <w:rPr/>
      </w:pPr>
      <w:bookmarkStart w:id="20" w:name="__RefHeading___Toc12252_2593447515"/>
      <w:bookmarkStart w:id="21" w:name="_Toc124950354"/>
      <w:bookmarkEnd w:id="20"/>
      <w:r>
        <w:rPr>
          <w:lang w:val="ru-RU"/>
        </w:rPr>
        <w:t>Требования к видам и объемам работ</w:t>
      </w:r>
      <w:bookmarkEnd w:id="21"/>
    </w:p>
    <w:p>
      <w:pPr>
        <w:pStyle w:val="Heading1"/>
        <w:keepLines/>
        <w:numPr>
          <w:ilvl w:val="0"/>
          <w:numId w:val="0"/>
        </w:numPr>
        <w:spacing w:before="240" w:after="240"/>
        <w:ind w:left="0" w:hanging="0"/>
        <w:rPr>
          <w:sz w:val="24"/>
          <w:szCs w:val="24"/>
        </w:rPr>
      </w:pPr>
      <w:bookmarkStart w:id="22" w:name="__RefHeading___Toc12254_2593447515"/>
      <w:bookmarkStart w:id="23" w:name="_Toc124950355"/>
      <w:bookmarkStart w:id="24" w:name="_Toc51339695"/>
      <w:bookmarkEnd w:id="2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4"/>
      <w:r>
        <w:rPr>
          <w:sz w:val="24"/>
          <w:szCs w:val="24"/>
          <w:lang w:val="ru-RU"/>
        </w:rPr>
        <w:t>и объем выполняемых работ</w:t>
      </w:r>
      <w:bookmarkEnd w:id="23"/>
    </w:p>
    <w:p>
      <w:pPr>
        <w:pStyle w:val="Normal"/>
        <w:spacing w:before="0" w:after="120"/>
        <w:jc w:val="both"/>
        <w:rPr>
          <w:szCs w:val="24"/>
        </w:rPr>
      </w:pPr>
      <w:r>
        <w:rPr>
          <w:szCs w:val="24"/>
        </w:rPr>
      </w:r>
    </w:p>
    <w:tbl>
      <w:tblPr>
        <w:tblW w:w="980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26"/>
        <w:gridCol w:w="5443"/>
        <w:gridCol w:w="1426"/>
        <w:gridCol w:w="2112"/>
      </w:tblGrid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работ /этапа работ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Единица измерения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>
        <w:trPr/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4"/>
              </w:rPr>
            </w:pPr>
            <w:r>
              <w:rPr>
                <w:szCs w:val="24"/>
              </w:rPr>
              <w:t>Транспортировка до завода подрядчика</w:t>
            </w:r>
          </w:p>
        </w:tc>
        <w:tc>
          <w:tcPr>
            <w:tcW w:w="35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iCs/>
                <w:szCs w:val="24"/>
              </w:rPr>
              <w:t>В соответствии с Техническими требованиями, с ведомостью объемов работ</w:t>
            </w:r>
          </w:p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iCs/>
                <w:szCs w:val="24"/>
              </w:rPr>
              <w:t>(Приложение №1 к Техническим требованиям)</w:t>
            </w:r>
          </w:p>
        </w:tc>
      </w:tr>
      <w:tr>
        <w:trPr/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4"/>
              </w:rPr>
            </w:pPr>
            <w:r>
              <w:rPr>
                <w:szCs w:val="24"/>
              </w:rPr>
              <w:t xml:space="preserve">Ремонт подшипников ГТУ </w:t>
            </w:r>
          </w:p>
        </w:tc>
        <w:tc>
          <w:tcPr>
            <w:tcW w:w="35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/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3. 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4"/>
              </w:rPr>
            </w:pPr>
            <w:r>
              <w:rPr>
                <w:szCs w:val="24"/>
              </w:rPr>
              <w:t>Транспортировка до Якутской ГРЭС</w:t>
            </w:r>
          </w:p>
        </w:tc>
        <w:tc>
          <w:tcPr>
            <w:tcW w:w="35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/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4"/>
              </w:rPr>
            </w:pPr>
            <w:r>
              <w:rPr>
                <w:szCs w:val="24"/>
              </w:rPr>
              <w:t>И</w:t>
            </w:r>
            <w:r>
              <w:rPr>
                <w:szCs w:val="24"/>
              </w:rPr>
              <w:t>зготовление крепежа</w:t>
            </w:r>
          </w:p>
        </w:tc>
        <w:tc>
          <w:tcPr>
            <w:tcW w:w="35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Normal"/>
        <w:spacing w:before="0" w:after="120"/>
        <w:jc w:val="both"/>
        <w:rPr>
          <w:szCs w:val="24"/>
        </w:rPr>
      </w:pPr>
      <w:r>
        <w:rPr>
          <w:szCs w:val="24"/>
        </w:rPr>
      </w:r>
    </w:p>
    <w:p>
      <w:pPr>
        <w:pStyle w:val="Heading3"/>
        <w:numPr>
          <w:ilvl w:val="2"/>
          <w:numId w:val="3"/>
        </w:numPr>
        <w:rPr/>
      </w:pPr>
      <w:bookmarkStart w:id="25" w:name="__RefHeading___Toc12256_2593447515"/>
      <w:bookmarkStart w:id="26" w:name="_Toc124950356"/>
      <w:bookmarkStart w:id="27" w:name="_Toc51339696"/>
      <w:bookmarkEnd w:id="25"/>
      <w:r>
        <w:rPr>
          <w:lang w:val="ru-RU"/>
        </w:rPr>
        <w:t xml:space="preserve">Требования </w:t>
      </w:r>
      <w:bookmarkEnd w:id="27"/>
      <w:r>
        <w:rPr>
          <w:lang w:val="ru-RU"/>
        </w:rPr>
        <w:t>к срокам выполнения работ</w:t>
      </w:r>
      <w:bookmarkEnd w:id="26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bookmarkStart w:id="28" w:name="__RefHeading___Toc12258_2593447515"/>
      <w:bookmarkStart w:id="29" w:name="_Toc124950357"/>
      <w:bookmarkStart w:id="30" w:name="_Toc50125127"/>
      <w:bookmarkStart w:id="31" w:name="_Toc51339697"/>
      <w:bookmarkEnd w:id="2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2" w:name="_Hlk50465284"/>
      <w:r>
        <w:rPr>
          <w:sz w:val="24"/>
          <w:szCs w:val="24"/>
        </w:rPr>
        <w:t xml:space="preserve">Требования по срокам </w:t>
      </w:r>
      <w:bookmarkEnd w:id="30"/>
      <w:bookmarkEnd w:id="31"/>
      <w:bookmarkEnd w:id="32"/>
      <w:r>
        <w:rPr>
          <w:sz w:val="24"/>
          <w:szCs w:val="24"/>
          <w:lang w:val="ru-RU"/>
        </w:rPr>
        <w:t>выполнения работ</w:t>
      </w:r>
      <w:bookmarkEnd w:id="29"/>
    </w:p>
    <w:p>
      <w:pPr>
        <w:pStyle w:val="Normal"/>
        <w:keepNext w:val="true"/>
        <w:keepLines/>
        <w:numPr>
          <w:ilvl w:val="0"/>
          <w:numId w:val="0"/>
        </w:numPr>
        <w:spacing w:before="240" w:after="60"/>
        <w:ind w:left="0" w:hanging="0"/>
        <w:outlineLvl w:val="0"/>
        <w:rPr>
          <w:rFonts w:eastAsia="Calibri"/>
          <w:b/>
          <w:szCs w:val="24"/>
          <w:lang w:eastAsia="x-none"/>
        </w:rPr>
      </w:pPr>
      <w:r>
        <w:rPr>
          <w:rFonts w:eastAsia="Calibri"/>
          <w:b/>
          <w:szCs w:val="24"/>
          <w:lang w:eastAsia="x-none"/>
        </w:rPr>
      </w:r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4"/>
        <w:gridCol w:w="2546"/>
        <w:gridCol w:w="2984"/>
        <w:gridCol w:w="3111"/>
      </w:tblGrid>
      <w:tr>
        <w:trPr>
          <w:trHeight w:val="1011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>
              <w:rPr>
                <w:szCs w:val="24"/>
              </w:rPr>
              <w:t>п/п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этапа работ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Требования к началу срока выполнения этапа работ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Требования к окончанию срока выполнения этапа работ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1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1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761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ind w:left="310" w:hanging="277"/>
              <w:jc w:val="center"/>
              <w:rPr/>
            </w:pPr>
            <w:r>
              <w:rPr/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Cs w:val="24"/>
              </w:rPr>
            </w:pPr>
            <w:r>
              <w:rPr>
                <w:szCs w:val="24"/>
              </w:rPr>
              <w:t xml:space="preserve">Ремонт подшипников ГТУ 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/>
              <w:t>С даты подписания Договора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10</w:t>
            </w:r>
            <w:r>
              <w:rPr>
                <w:szCs w:val="24"/>
              </w:rPr>
              <w:t>.0</w:t>
            </w:r>
            <w:r>
              <w:rPr>
                <w:szCs w:val="24"/>
              </w:rPr>
              <w:t>8</w:t>
            </w:r>
            <w:r>
              <w:rPr>
                <w:szCs w:val="24"/>
              </w:rPr>
              <w:t>.202</w:t>
            </w:r>
            <w:r>
              <w:rPr>
                <w:szCs w:val="24"/>
              </w:rPr>
              <w:t>7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33" w:name="__RefHeading___Toc12260_2593447515"/>
      <w:bookmarkStart w:id="34" w:name="_Toc124950358"/>
      <w:bookmarkEnd w:id="33"/>
      <w:r>
        <w:rPr/>
        <w:t xml:space="preserve">Требования к </w:t>
      </w:r>
      <w:r>
        <w:rPr>
          <w:lang w:val="ru-RU"/>
        </w:rPr>
        <w:t>качеству работ</w:t>
      </w:r>
      <w:bookmarkEnd w:id="34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bookmarkStart w:id="35" w:name="__RefHeading___Toc12262_2593447515"/>
      <w:bookmarkStart w:id="36" w:name="_Toc124950359"/>
      <w:bookmarkStart w:id="37" w:name="_Toc50125131"/>
      <w:bookmarkStart w:id="38" w:name="_Toc51339698"/>
      <w:bookmarkEnd w:id="35"/>
      <w:r>
        <w:rPr>
          <w:sz w:val="24"/>
          <w:szCs w:val="24"/>
        </w:rPr>
        <w:t xml:space="preserve">Таблица 4. Требования к </w:t>
      </w:r>
      <w:bookmarkEnd w:id="37"/>
      <w:bookmarkEnd w:id="38"/>
      <w:r>
        <w:rPr>
          <w:sz w:val="24"/>
          <w:szCs w:val="24"/>
          <w:lang w:val="ru-RU"/>
        </w:rPr>
        <w:t>качеству работ</w:t>
      </w:r>
      <w:bookmarkEnd w:id="36"/>
      <w:r>
        <w:rPr>
          <w:sz w:val="24"/>
          <w:szCs w:val="24"/>
        </w:rPr>
        <w:t xml:space="preserve"> </w:t>
      </w:r>
    </w:p>
    <w:p>
      <w:pPr>
        <w:pStyle w:val="Normal"/>
        <w:jc w:val="both"/>
        <w:rPr>
          <w:szCs w:val="24"/>
        </w:rPr>
      </w:pPr>
      <w:r>
        <w:rPr>
          <w:b/>
          <w:bCs/>
          <w:szCs w:val="24"/>
        </w:rPr>
        <w:t>Наименование работ/этапа работ (Таблицы 2):</w:t>
      </w:r>
      <w:r>
        <w:rPr>
          <w:szCs w:val="24"/>
        </w:rPr>
        <w:t xml:space="preserve"> Ремонт подшипников газотурбинных установок для нужд филиала Якутская ГРЭС.</w:t>
      </w:r>
    </w:p>
    <w:p>
      <w:pPr>
        <w:pStyle w:val="Normal"/>
        <w:snapToGrid w:val="false"/>
        <w:spacing w:before="0" w:after="120"/>
        <w:rPr>
          <w:iCs/>
          <w:szCs w:val="24"/>
        </w:rPr>
      </w:pPr>
      <w:r>
        <w:rPr>
          <w:iCs/>
          <w:szCs w:val="24"/>
        </w:rPr>
      </w:r>
    </w:p>
    <w:tbl>
      <w:tblPr>
        <w:tblStyle w:val="affffb"/>
        <w:tblW w:w="15593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93"/>
        <w:gridCol w:w="3825"/>
        <w:gridCol w:w="6806"/>
        <w:gridCol w:w="1984"/>
        <w:gridCol w:w="1985"/>
      </w:tblGrid>
      <w:tr>
        <w:trPr/>
        <w:tc>
          <w:tcPr>
            <w:tcW w:w="99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п/п</w:t>
            </w:r>
          </w:p>
        </w:tc>
        <w:tc>
          <w:tcPr>
            <w:tcW w:w="382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80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396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1285" w:hRule="atLeast"/>
        </w:trPr>
        <w:tc>
          <w:tcPr>
            <w:tcW w:w="99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  <w:tc>
          <w:tcPr>
            <w:tcW w:w="382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  <w:tc>
          <w:tcPr>
            <w:tcW w:w="680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19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1</w:t>
            </w:r>
          </w:p>
        </w:tc>
        <w:tc>
          <w:tcPr>
            <w:tcW w:w="38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2</w:t>
            </w:r>
          </w:p>
        </w:tc>
        <w:tc>
          <w:tcPr>
            <w:tcW w:w="680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3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4</w:t>
            </w:r>
          </w:p>
        </w:tc>
        <w:tc>
          <w:tcPr>
            <w:tcW w:w="19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 xml:space="preserve">Требования к выполнению работ </w:t>
            </w:r>
          </w:p>
        </w:tc>
        <w:tc>
          <w:tcPr>
            <w:tcW w:w="198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left="27" w:hanging="8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1.1.1</w:t>
            </w:r>
          </w:p>
        </w:tc>
        <w:tc>
          <w:tcPr>
            <w:tcW w:w="382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Перечень выполняемых работ</w:t>
            </w:r>
          </w:p>
        </w:tc>
        <w:tc>
          <w:tcPr>
            <w:tcW w:w="6806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Упаковка подшипников;</w:t>
            </w:r>
          </w:p>
          <w:p>
            <w:pPr>
              <w:pStyle w:val="NoSpacing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Транспортировка до завода подрядчика с Якутской ГРЭС;</w:t>
            </w:r>
          </w:p>
          <w:p>
            <w:pPr>
              <w:pStyle w:val="NoSpacing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Подготовительные работы;</w:t>
            </w:r>
          </w:p>
          <w:p>
            <w:pPr>
              <w:pStyle w:val="NoSpacing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Выполнение ремонтных работ (Приложение №1 и 4 к Техническим требованиям).;</w:t>
            </w:r>
          </w:p>
          <w:p>
            <w:pPr>
              <w:pStyle w:val="NoSpacing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Упаковка подшипников;</w:t>
            </w:r>
          </w:p>
          <w:p>
            <w:pPr>
              <w:pStyle w:val="NoSpacing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Транспортировка до Якутской ГРЭС;</w:t>
            </w:r>
          </w:p>
          <w:p>
            <w:pPr>
              <w:pStyle w:val="NoSpacing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Сдача исполнительной документации.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Транспортировочные расходы и расходы по упаковке подшипников включены в стоимость сметы.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</w:r>
          </w:p>
        </w:tc>
        <w:tc>
          <w:tcPr>
            <w:tcW w:w="198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left="27" w:hanging="8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1.1.2.</w:t>
            </w:r>
          </w:p>
        </w:tc>
        <w:tc>
          <w:tcPr>
            <w:tcW w:w="382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80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При оказании работ исполнитель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Федеральный закон от 21.12.94 №69-ФЗ «О пожарной безопасности»;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Федеральный закон от 22.07.08 № 123-ФЗ «Технический регламент о требованиях пожарной безопасности»;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Правилами технической эксплуатации электрических станций и сетей Российской Федерации. (утв. приказом Минэнерго РФ от 19.06.2003 №229);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Arial Unicode MS" w:cs="Times New Roman"/>
                <w:kern w:val="0"/>
                <w:lang w:val="ru-RU" w:eastAsia="ru-RU" w:bidi="ar-SA"/>
              </w:rPr>
              <w:t>Правилами организации технического обслуживания и ремонта оборудования, зданий и сооружений электростанций и сетей» СО 34.04.181-2003;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Arial Unicode MS" w:cs="Times New Roman"/>
                <w:kern w:val="0"/>
                <w:szCs w:val="24"/>
                <w:lang w:val="ru-RU" w:eastAsia="ru-RU" w:bidi="ar-SA"/>
              </w:rPr>
              <w:t>Регламентом «Допуска подрядных организаций и командированного персонала на объекты ПАО «Якутскэнерго».</w:t>
            </w:r>
          </w:p>
        </w:tc>
        <w:tc>
          <w:tcPr>
            <w:tcW w:w="198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left="27" w:hanging="8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1.1.3.</w:t>
            </w:r>
          </w:p>
        </w:tc>
        <w:tc>
          <w:tcPr>
            <w:tcW w:w="382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Контроль и качество работ</w:t>
            </w:r>
          </w:p>
        </w:tc>
        <w:tc>
          <w:tcPr>
            <w:tcW w:w="68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Контроль за ходом работ и их качеством осуществляется Подрядчиком и Заказчиком. Заказчик обязуется назначить куратора и обеспечить допуск персонала подрядчика на объект согласно «Правилам по охране труда при эксплуатации электроустановок» (Приказ Министерства труда и социальной защиты РФ от 15.12.2020 г. № 903н).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Недостатки работ, обнаруженные в ходе сдачи или выявленные в период гарантийной эксплуатации объекта, фиксируются в соответствующем акте, подписываемом представителями Заказчика и Подрядчик, с указанием срока и порядка их устранения.</w:t>
            </w:r>
          </w:p>
        </w:tc>
        <w:tc>
          <w:tcPr>
            <w:tcW w:w="198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6806" w:type="dxa"/>
            <w:tcBorders/>
          </w:tcPr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Работа будет производиться на территории Подрядчика в заводских условиях.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Требование пропускному режиму</w:t>
            </w:r>
          </w:p>
        </w:tc>
        <w:tc>
          <w:tcPr>
            <w:tcW w:w="6806" w:type="dxa"/>
            <w:tcBorders/>
          </w:tcPr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Style w:val="Hyperlink"/>
                <w:rFonts w:cs="Times New Roman"/>
                <w:iCs/>
                <w:color w:val="000000"/>
                <w:kern w:val="0"/>
                <w:u w:val="none"/>
                <w:lang w:val="ru-RU" w:eastAsia="ru-RU" w:bidi="ar-SA"/>
              </w:rPr>
              <w:t>Работа будет производиться на территории Подрядчика в заводских условиях.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Требование к информационной безопасности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Style w:val="Hyperlink"/>
                <w:rFonts w:eastAsia="Times New Roman" w:cs="Times New Roman"/>
                <w:iCs/>
                <w:color w:val="auto"/>
                <w:kern w:val="0"/>
                <w:szCs w:val="24"/>
                <w:u w:val="none"/>
                <w:lang w:val="ru-RU" w:eastAsia="ru-RU" w:bidi="ar-SA"/>
              </w:rPr>
              <w:t>СТО-00-022.01-22 ПАО «Якутскэнерго» «Политика информационной безопасности ПАО «Якутскэнерго» (</w:t>
            </w:r>
            <w:hyperlink r:id="rId5">
              <w:r>
                <w:rPr>
                  <w:rStyle w:val="Hyperlink"/>
                  <w:rFonts w:eastAsia="Times New Roman" w:cs="Times New Roman"/>
                  <w:iCs/>
                  <w:color w:val="auto"/>
                  <w:kern w:val="0"/>
                  <w:szCs w:val="24"/>
                  <w:u w:val="none"/>
                  <w:lang w:val="ru-RU" w:eastAsia="ru-RU" w:bidi="ar-SA"/>
                </w:rPr>
                <w:t>https://corp.yakutskenergo.ru/documents/files/STO-00-022.01-22-20221226155059.pdf</w:t>
              </w:r>
            </w:hyperlink>
            <w:r>
              <w:rPr>
                <w:rStyle w:val="Hyperlink"/>
                <w:rFonts w:eastAsia="Times New Roman" w:cs="Times New Roman"/>
                <w:iCs/>
                <w:color w:val="auto"/>
                <w:kern w:val="0"/>
                <w:szCs w:val="24"/>
                <w:u w:val="none"/>
                <w:lang w:val="ru-RU" w:eastAsia="ru-RU" w:bidi="ar-SA"/>
              </w:rPr>
              <w:t>)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Требования к используемым материалам оборудованиям и устройствам</w:t>
            </w:r>
          </w:p>
        </w:tc>
        <w:tc>
          <w:tcPr>
            <w:tcW w:w="6806" w:type="dxa"/>
            <w:tcBorders/>
          </w:tcPr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Заказ и поставку материалов и оборудования для строительства в полном объёме осуществляет Подрядчик. 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Гарантия на МТР и оборудование, поставляемые Подрядчиком, составляет срок, составляющий не менее гарантийного срока установленным заводом изготовителем с даты подписания акта КС-2.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Все применяемые материалы и изделия должны иметь соответствующие сертификаты, технические паспорта и другие документы, удостоверяющие их качество, должны быть новыми, не должны быть ранее использованными.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Применение эквивалентных материалов допустимо только при согласовании с Заказчиком и проведении в случае необходимости лабораторных исследований по данным материалам, которые проводятся за счет Подрядчика, без увеличения сметной стоимости.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Предложения по применению материалов, оборудования конструкций и комплектующих эквивалентов могут быть предоставлены Подрядчиком в адрес Заказчика, в течении 5 рабочих дней с даты выдачи «в производство работ» рабочей документации.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 случае, если применение Подрядчиком эквивалентных материалов будет согласовано и потребует внесения изменений в проектную/рабочую документацию, такие изменения также производятся за счет Подрядчика.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Контроль качества используемых запасных частей и материалов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Подрядчик должен обеспечить входной контроль поступающих материалов и запасных частей, включающий в себя проверку: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70" w:hanging="170"/>
              <w:contextualSpacing w:val="false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наличия соответствующих сертификатов в соответствии с требованиями постановления Правительства Российской Федерации от 01.12.2009 N 982 (ред. от 21.02.2018) «Об утверждении единого перечня продукции, подлежащей обязательной сертификации»;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70" w:hanging="170"/>
              <w:contextualSpacing w:val="false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70" w:hanging="170"/>
              <w:contextualSpacing w:val="false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70" w:hanging="170"/>
              <w:contextualSpacing w:val="false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комплектности поставляемых материалов.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Контроль качества работ</w:t>
            </w:r>
          </w:p>
        </w:tc>
        <w:tc>
          <w:tcPr>
            <w:tcW w:w="680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6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Подрядчик гарантирует высокое качество и надежную последующую эксплуатацию объекта в соответствии с положениями технических регламентов, действующих на территории Российской Федерации и </w:t>
            </w:r>
            <w:r>
              <w:rPr>
                <w:rFonts w:eastAsia="Lucida Sans Unicode" w:cs="Times New Roman"/>
                <w:kern w:val="2"/>
                <w:szCs w:val="24"/>
                <w:lang w:val="ru-RU" w:eastAsia="hi-IN" w:bidi="hi-IN"/>
              </w:rPr>
              <w:t>соответствовать требованиям, предъявляемым к работам соответствующего рода.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персоналу подрядчика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Квалификация персонала подрядчика, привлекаемого к выполнению работ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Cs/>
                <w:kern w:val="0"/>
                <w:szCs w:val="24"/>
                <w:lang w:val="ru-RU" w:eastAsia="ru-RU" w:bidi="ar-SA"/>
              </w:rPr>
              <w:t>Для проведения ремонтных работ требуется наличие следующего персонала: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Cs/>
                <w:kern w:val="0"/>
                <w:szCs w:val="24"/>
                <w:lang w:val="ru-RU" w:eastAsia="ru-RU" w:bidi="ar-SA"/>
              </w:rPr>
              <w:t>1. Слесарь по ремонту паро-газотурбинного оборудования 5-го разряда привлекаемого к – не менее 2-х человек;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Cs/>
                <w:kern w:val="0"/>
                <w:szCs w:val="24"/>
                <w:lang w:val="ru-RU" w:eastAsia="ru-RU" w:bidi="ar-SA"/>
              </w:rPr>
              <w:t>2. Дефектоскопист не ниже 2 уровня по ВИК, ЦД – не менее 1-го человека;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Cs/>
                <w:kern w:val="0"/>
                <w:szCs w:val="24"/>
                <w:lang w:val="ru-RU" w:eastAsia="ru-RU" w:bidi="ar-SA"/>
              </w:rPr>
              <w:t>3. Руководитель работ (специалист по восстановлению узлов и деталей паро-газотурбинного оборудования) — не менее 1 человека.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Cs/>
                <w:kern w:val="0"/>
                <w:szCs w:val="24"/>
                <w:lang w:val="ru-RU" w:eastAsia="ru-RU" w:bidi="ar-SA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персонала, разряде, с приложением копий.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center"/>
              <w:rPr>
                <w:b/>
                <w:lang w:eastAsia="x-none"/>
              </w:rPr>
            </w:pPr>
            <w:r>
              <w:rPr>
                <w:rFonts w:cs="Times New Roman"/>
                <w:b/>
                <w:kern w:val="0"/>
                <w:lang w:val="ru-RU" w:eastAsia="x-none" w:bidi="ar-SA"/>
              </w:rPr>
              <w:t xml:space="preserve">1.6. </w:t>
            </w:r>
          </w:p>
        </w:tc>
        <w:tc>
          <w:tcPr>
            <w:tcW w:w="1063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Требование к безопасности работ и охране труда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0" w:hanging="0"/>
              <w:contextualSpacing/>
              <w:jc w:val="center"/>
              <w:rPr>
                <w:b/>
                <w:lang w:eastAsia="x-none"/>
              </w:rPr>
            </w:pPr>
            <w:r>
              <w:rPr>
                <w:rFonts w:cs="Times New Roman"/>
                <w:b/>
                <w:kern w:val="0"/>
                <w:lang w:val="ru-RU" w:eastAsia="x-none" w:bidi="ar-SA"/>
              </w:rPr>
              <w:t>1.6.1.</w:t>
            </w:r>
          </w:p>
          <w:p>
            <w:pPr>
              <w:pStyle w:val="ListParagraph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Требования к безопасности при выполнении работ</w:t>
            </w:r>
          </w:p>
        </w:tc>
        <w:tc>
          <w:tcPr>
            <w:tcW w:w="68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Подрядчик должен: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   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1.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   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2. Подрядчик обязан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   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3. § СО34.03.201-97 (РД 34.03.201-97) Правила техники безопасности при эксплуатации тепломеханического оборудования электростанций и тепловых сетей;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   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4. § СО 34.03.301-2000 Правила пожарной безопасности для энергетических предприятий;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5.  § Федеральный закон "О промышленной безопасности опасных производственных объектов" № 116-ФЗ от 21 июля 1997г (с изменениями)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6. § Правила по охране труда при эксплуатации электроустановок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7. § Постановление Правительства РФ от 25.04.2012 N 390 "О противопожарном режиме "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8. § Правил по охране труда при эксплуатации электроустановок, утвержденных приказом Минтруда России от 19.02.2016 г. № 74н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9. § Федеральных норм и правил в области промышленной безопасности «Правила безопасности опасных производственных объектов, на которых используется подъемные сооружения» Приказ № 461 от 26 ноября 2020 г.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10. § Приказ Минтруда России от 27.11.2020 N 835н "Об утверждении Правил по охране труда при работе с инструментом и приспособлениями"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Результат работ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Результат работ должен соответствовать перечню и объемам выполняемых работ (Приложение №1 к Техническим требованиям).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57" w:hanging="0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57" w:hanging="0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57" w:hanging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Cs w:val="24"/>
                <w:lang w:val="ru-RU" w:eastAsia="ru-RU" w:bidi="ar-SA"/>
              </w:rPr>
              <w:t>Качество работ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suppressAutoHyphens w:val="true"/>
              <w:spacing w:lineRule="atLeast" w:line="100" w:before="0" w:after="0"/>
              <w:ind w:firstLine="5"/>
              <w:jc w:val="both"/>
              <w:rPr>
                <w:szCs w:val="24"/>
              </w:rPr>
            </w:pPr>
            <w:r>
              <w:rPr>
                <w:rFonts w:eastAsia="Lucida Sans Unicode" w:cs="Times New Roman"/>
                <w:kern w:val="2"/>
                <w:szCs w:val="24"/>
                <w:lang w:val="ru-RU" w:eastAsia="hi-IN" w:bidi="hi-IN"/>
              </w:rPr>
              <w:t>Качество выполненных подрядчиком работ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32" w:leader="none"/>
                <w:tab w:val="left" w:pos="459" w:leader="none"/>
              </w:tabs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Lucida Sans Unicode" w:cs="Times New Roman"/>
                <w:kern w:val="2"/>
                <w:szCs w:val="24"/>
                <w:lang w:val="ru-RU"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Style w:val="Style8"/>
                <w:rFonts w:eastAsia="Times New Roman" w:cs="Times New Roman"/>
                <w:bCs/>
                <w:i w:val="false"/>
                <w:kern w:val="0"/>
                <w:szCs w:val="24"/>
                <w:shd w:fill="auto" w:val="clear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Приемка работ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Cs w:val="24"/>
              </w:rPr>
            </w:pPr>
            <w:r>
              <w:rPr>
                <w:rFonts w:eastAsia="Lucida Sans Unicode" w:cs="Times New Roman"/>
                <w:kern w:val="2"/>
                <w:szCs w:val="24"/>
                <w:lang w:val="ru-RU" w:eastAsia="hi-IN" w:bidi="hi-IN"/>
              </w:rPr>
              <w:t>Приемка работ осуществляется комиссией назначаемой Заказчиком с участием полномочных представителей Подрядчика, при необходимости с привлечением иных заинтересованных лиц и/или органов надзора.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6806" w:type="dxa"/>
            <w:tcBorders/>
          </w:tcPr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 xml:space="preserve">Подрядчик в соответствии с действующей нормативно-технической документацией ведёт исполнительную документацию на протяжении всего периода производства работ и в момент завершения каждого из отчётных периодов передаёт один экземпляр исполнительной документации Заказчику. 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Приемка работ ведется в соответствии с Правилами организации технического обслуживания и ремонта объектов электроэнергетики (Приказ Минэнерго РФ от 25 октября 2017 года № 1013).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При приёмочном контроле Подрядчик должен представить Заказчику следующую документацию: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Исполнительный акт приемки выполненных работ;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Журнал учета выполненных работ по форме КС-6а;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Акты на скрытые работы;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Акты дефектации оборудования;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Ведомости дополнительных работ;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Форма КС-3 – справка о стоимости выполненных работ;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Форма КС-2 - акт о приемке выполненных работ;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Счет фактура (для плательщиков НДС).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Гарантийный срок на результат работ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Гарантийный срок на результат работ должен составлять 18 месяцев с даты подписания Акта о приемке выполненных работ КС-2.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shd w:fill="FFFFFF" w:val="clear"/>
                <w:lang w:val="ru-RU" w:eastAsia="ru-RU" w:bidi="ar-SA"/>
              </w:rPr>
              <w:t>Заказчик, обнаруживший после приемки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Подрядчика, а Подрядчик устраняет их за свой счет в согласованные сторонами сроки и компенсирует Заказчику понесенные при этом убытки в разумный срок.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4.</w:t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4.1.</w:t>
            </w:r>
          </w:p>
        </w:tc>
        <w:tc>
          <w:tcPr>
            <w:tcW w:w="3825" w:type="dxa"/>
            <w:tcBorders/>
            <w:vAlign w:val="center"/>
          </w:tcPr>
          <w:p>
            <w:pPr>
              <w:pStyle w:val="Style3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both"/>
              <w:outlineLvl w:val="2"/>
              <w:rPr>
                <w:sz w:val="20"/>
                <w:szCs w:val="20"/>
              </w:rPr>
            </w:pPr>
            <w:bookmarkStart w:id="39" w:name="__RefHeading___Toc12264_2593447515"/>
            <w:bookmarkEnd w:id="39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Экологические требования по охране окружающей среды</w:t>
            </w:r>
          </w:p>
          <w:p>
            <w:pPr>
              <w:pStyle w:val="Style3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both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680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Согласно действующим нормам и правилам, мероприятия по охране окружающей среды (Закон РФ «Об охране окружающей природной среды» № 45-Ф3 от 09.05.05.)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При выполнении работ необходимо выполнять требования законодательства в области охраны окружающей среды.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Мероприятия по охране окружающей среды на период ремонта: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1)</w:t>
              <w:tab/>
              <w:t>Приемка выполненных работ производится комиссионно с обязательным присутствием представителя подрядной организации.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2)</w:t>
              <w:tab/>
              <w:t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3)</w:t>
              <w:tab/>
              <w:t>Отходы, строительный мусор должны своевременно вывозиться для дальнейшей утилизации.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4)</w:t>
              <w:tab/>
              <w:t>Мероприятия и работы по охране окружающей среды вести в соответствии с требованиями СП 48.13330.2019 и СП 45.13330.2017.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5)</w:t>
              <w:tab/>
              <w:t>Подрядчик обязан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Подрядчик обязан поддерживать Политику ИСМ ПАО «Якутскэнерго». Политика размещена на внешнем сайте компании по адресу: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 </w:t>
            </w:r>
            <w:hyperlink r:id="rId6"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ru-RU" w:eastAsia="ru-RU" w:bidi="ar-SA"/>
                </w:rPr>
                <w:t>https://yakutskenergo.ru/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en-US" w:eastAsia="ru-RU" w:bidi="ar-SA"/>
                </w:rPr>
                <w:t>procurement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ru-RU" w:eastAsia="ru-RU" w:bidi="ar-SA"/>
                </w:rPr>
                <w:t>/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en-US" w:eastAsia="ru-RU" w:bidi="ar-SA"/>
                </w:rPr>
                <w:t>information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ru-RU" w:eastAsia="ru-RU" w:bidi="ar-SA"/>
                </w:rPr>
                <w:t>-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en-US" w:eastAsia="ru-RU" w:bidi="ar-SA"/>
                </w:rPr>
                <w:t>for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ru-RU" w:eastAsia="ru-RU" w:bidi="ar-SA"/>
                </w:rPr>
                <w:t>-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en-US" w:eastAsia="ru-RU" w:bidi="ar-SA"/>
                </w:rPr>
                <w:t>partners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</w:tbl>
    <w:p>
      <w:pPr>
        <w:sectPr>
          <w:headerReference w:type="default" r:id="rId7"/>
          <w:headerReference w:type="first" r:id="rId8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keepLines/>
        <w:numPr>
          <w:ilvl w:val="0"/>
          <w:numId w:val="3"/>
        </w:numPr>
        <w:spacing w:before="120" w:after="360"/>
        <w:ind w:left="357" w:hanging="357"/>
        <w:jc w:val="center"/>
        <w:rPr>
          <w:sz w:val="24"/>
          <w:szCs w:val="24"/>
        </w:rPr>
      </w:pPr>
      <w:bookmarkStart w:id="40" w:name="__RefHeading___Toc12266_2593447515"/>
      <w:bookmarkStart w:id="41" w:name="_Toc124950360"/>
      <w:bookmarkStart w:id="42" w:name="_Toc53393312"/>
      <w:bookmarkEnd w:id="40"/>
      <w:r>
        <w:rPr>
          <w:sz w:val="24"/>
          <w:szCs w:val="24"/>
          <w:lang w:val="ru-RU"/>
        </w:rPr>
        <w:t>Требования к документации по ценообразованию</w:t>
      </w:r>
      <w:bookmarkEnd w:id="42"/>
      <w:r>
        <w:rPr>
          <w:sz w:val="24"/>
          <w:szCs w:val="24"/>
          <w:lang w:val="ru-RU"/>
        </w:rPr>
        <w:t xml:space="preserve"> на этапе закупки</w:t>
      </w:r>
      <w:bookmarkEnd w:id="41"/>
    </w:p>
    <w:p>
      <w:pPr>
        <w:pStyle w:val="NoSpacing"/>
        <w:spacing w:lineRule="auto" w:line="276"/>
        <w:jc w:val="both"/>
        <w:rPr/>
      </w:pPr>
      <w:r>
        <w:rPr/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</w:p>
    <w:p>
      <w:pPr>
        <w:pStyle w:val="NoSpacing"/>
        <w:spacing w:lineRule="auto" w:line="276"/>
        <w:jc w:val="both"/>
        <w:rPr/>
      </w:pPr>
      <w:r>
        <w:rPr/>
        <w:t>3.2. Дополнительные документы по ценообразованию (сметная документация) в состав заявки Участника не включаются».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sz w:val="24"/>
          <w:szCs w:val="24"/>
        </w:rPr>
      </w:pPr>
      <w:bookmarkStart w:id="43" w:name="__RefHeading___Toc12268_2593447515"/>
      <w:bookmarkStart w:id="44" w:name="_Toc124950361"/>
      <w:bookmarkEnd w:id="43"/>
      <w:r>
        <w:rPr>
          <w:sz w:val="24"/>
          <w:szCs w:val="24"/>
          <w:lang w:val="ru-RU"/>
        </w:rPr>
        <w:t>Требования к документации по ценообразованию на этапе заключения (исполнения) договора</w:t>
      </w:r>
      <w:bookmarkEnd w:id="44"/>
    </w:p>
    <w:p>
      <w:pPr>
        <w:pStyle w:val="Heading4"/>
        <w:numPr>
          <w:ilvl w:val="1"/>
          <w:numId w:val="3"/>
        </w:numPr>
        <w:tabs>
          <w:tab w:val="left" w:pos="0" w:leader="none"/>
          <w:tab w:val="left" w:pos="426" w:leader="none"/>
        </w:tabs>
        <w:spacing w:lineRule="auto" w:line="276" w:before="0" w:after="0"/>
        <w:ind w:left="0" w:hanging="0"/>
        <w:jc w:val="both"/>
        <w:rPr/>
      </w:pPr>
      <w:bookmarkStart w:id="45" w:name="__RefHeading___Toc12270_2593447515"/>
      <w:bookmarkStart w:id="46" w:name="_Ref54278740"/>
      <w:bookmarkStart w:id="47" w:name="_Toc124950362"/>
      <w:bookmarkEnd w:id="45"/>
      <w:r>
        <w:rPr>
          <w:b w:val="false"/>
        </w:rPr>
        <w:t>Требования к составлению сметной документации (при заключении договора):</w:t>
      </w:r>
      <w:bookmarkEnd w:id="46"/>
      <w:bookmarkEnd w:id="47"/>
    </w:p>
    <w:p>
      <w:pPr>
        <w:pStyle w:val="Heading3"/>
        <w:numPr>
          <w:ilvl w:val="2"/>
          <w:numId w:val="3"/>
        </w:numPr>
        <w:tabs>
          <w:tab w:val="clear" w:pos="708"/>
          <w:tab w:val="left" w:pos="426" w:leader="none"/>
        </w:tabs>
        <w:spacing w:lineRule="auto" w:line="276" w:before="0" w:after="0"/>
        <w:ind w:left="0" w:hanging="0"/>
        <w:jc w:val="both"/>
        <w:rPr/>
      </w:pPr>
      <w:bookmarkStart w:id="48" w:name="__RefHeading___Toc12272_2593447515"/>
      <w:bookmarkStart w:id="49" w:name="_Toc124950363"/>
      <w:bookmarkStart w:id="50" w:name="_Hlk87544714"/>
      <w:bookmarkEnd w:id="48"/>
      <w:bookmarkEnd w:id="50"/>
      <w:r>
        <w:rPr>
          <w:b w:val="false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</w:t>
      </w:r>
      <w:r>
        <w:rPr>
          <w:b w:val="false"/>
          <w:lang w:val="ru-RU"/>
        </w:rPr>
        <w:t>2</w:t>
      </w:r>
      <w:r>
        <w:rPr>
          <w:b w:val="false"/>
        </w:rPr>
        <w:t xml:space="preserve">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  <w:bookmarkEnd w:id="49"/>
    </w:p>
    <w:p>
      <w:pPr>
        <w:pStyle w:val="Heading3"/>
        <w:numPr>
          <w:ilvl w:val="2"/>
          <w:numId w:val="3"/>
        </w:numPr>
        <w:tabs>
          <w:tab w:val="clear" w:pos="708"/>
          <w:tab w:val="left" w:pos="426" w:leader="none"/>
        </w:tabs>
        <w:spacing w:lineRule="auto" w:line="276" w:before="0" w:after="0"/>
        <w:ind w:left="0" w:hanging="0"/>
        <w:jc w:val="both"/>
        <w:rPr/>
      </w:pPr>
      <w:bookmarkStart w:id="51" w:name="__RefHeading___Toc12274_2593447515"/>
      <w:bookmarkStart w:id="52" w:name="_Toc124950364"/>
      <w:bookmarkStart w:id="53" w:name="_Hlk87544714_Копия_1"/>
      <w:bookmarkEnd w:id="51"/>
      <w:bookmarkEnd w:id="53"/>
      <w:r>
        <w:rPr>
          <w:b w:val="false"/>
        </w:rPr>
        <w:t>Внесение изменений в сметную документацию заказчика</w:t>
      </w:r>
      <w:r>
        <w:rPr>
          <w:b w:val="false"/>
          <w:lang w:val="ru-RU"/>
        </w:rPr>
        <w:t xml:space="preserve"> </w:t>
      </w:r>
      <w:r>
        <w:rPr>
          <w:b w:val="false"/>
        </w:rPr>
        <w:t>(Приложение №</w:t>
      </w:r>
      <w:r>
        <w:rPr>
          <w:b w:val="false"/>
          <w:lang w:val="ru-RU"/>
        </w:rPr>
        <w:t>3</w:t>
      </w:r>
      <w:r>
        <w:rPr>
          <w:b w:val="false"/>
        </w:rPr>
        <w:t xml:space="preserve"> к ТТ), кроме применения понижающего коэффициента в соответствии с п.</w:t>
      </w:r>
      <w:r>
        <w:rPr>
          <w:b w:val="false"/>
        </w:rPr>
        <w:fldChar w:fldCharType="begin"/>
      </w:r>
      <w:r>
        <w:rPr>
          <w:b w:val="false"/>
        </w:rPr>
        <w:instrText xml:space="preserve"> REF _Ref54278740 \r \h </w:instrText>
      </w:r>
      <w:r>
        <w:rPr>
          <w:b w:val="false"/>
        </w:rPr>
        <w:fldChar w:fldCharType="separate"/>
      </w:r>
      <w:r>
        <w:rPr>
          <w:b w:val="false"/>
        </w:rPr>
        <w:t>4.1</w:t>
      </w:r>
      <w:r>
        <w:rPr>
          <w:b w:val="false"/>
        </w:rPr>
        <w:fldChar w:fldCharType="end"/>
      </w:r>
      <w:r>
        <w:rPr>
          <w:b w:val="false"/>
        </w:rPr>
        <w:t>.1, не допускается.</w:t>
      </w:r>
      <w:bookmarkEnd w:id="52"/>
    </w:p>
    <w:p>
      <w:pPr>
        <w:pStyle w:val="Heading4"/>
        <w:numPr>
          <w:ilvl w:val="1"/>
          <w:numId w:val="3"/>
        </w:numPr>
        <w:tabs>
          <w:tab w:val="left" w:pos="0" w:leader="none"/>
          <w:tab w:val="left" w:pos="426" w:leader="none"/>
        </w:tabs>
        <w:spacing w:lineRule="auto" w:line="276" w:before="0" w:after="0"/>
        <w:ind w:left="0" w:hanging="0"/>
        <w:jc w:val="both"/>
        <w:rPr/>
      </w:pPr>
      <w:bookmarkStart w:id="54" w:name="__RefHeading___Toc12276_2593447515"/>
      <w:bookmarkStart w:id="55" w:name="_Toc124950366"/>
      <w:bookmarkEnd w:id="54"/>
      <w:r>
        <w:rPr>
          <w:b w:val="false"/>
        </w:rPr>
        <w:t>Требования к составлению сметной документации (на этапе исполнения договора):</w:t>
      </w:r>
      <w:bookmarkEnd w:id="55"/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sz w:val="24"/>
          <w:szCs w:val="24"/>
        </w:rPr>
      </w:pPr>
      <w:bookmarkStart w:id="56" w:name="__RefHeading___Toc12278_2593447515"/>
      <w:bookmarkStart w:id="57" w:name="_Toc124950368"/>
      <w:bookmarkStart w:id="58" w:name="_Toc46743519"/>
      <w:bookmarkStart w:id="59" w:name="_Toc51339699"/>
      <w:bookmarkEnd w:id="56"/>
      <w:r>
        <w:rPr>
          <w:iCs/>
          <w:sz w:val="24"/>
          <w:szCs w:val="24"/>
        </w:rPr>
        <w:t>Приложения</w:t>
      </w:r>
      <w:bookmarkEnd w:id="57"/>
      <w:bookmarkEnd w:id="58"/>
      <w:bookmarkEnd w:id="59"/>
    </w:p>
    <w:p>
      <w:pPr>
        <w:pStyle w:val="Normal"/>
        <w:numPr>
          <w:ilvl w:val="0"/>
          <w:numId w:val="8"/>
        </w:numPr>
        <w:tabs>
          <w:tab w:val="clear" w:pos="708"/>
          <w:tab w:val="left" w:pos="426" w:leader="none"/>
        </w:tabs>
        <w:spacing w:before="0" w:after="0"/>
        <w:ind w:left="0" w:hanging="0"/>
        <w:contextualSpacing/>
        <w:jc w:val="both"/>
        <w:rPr>
          <w:szCs w:val="24"/>
        </w:rPr>
      </w:pPr>
      <w:r>
        <w:rPr>
          <w:szCs w:val="24"/>
        </w:rPr>
        <w:t>Приложение №1. Ведомость объемов работ;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bCs/>
          <w:szCs w:val="24"/>
          <w:lang w:eastAsia="x-none"/>
        </w:rPr>
        <w:t>Приложение №2</w:t>
      </w:r>
      <w:r>
        <w:rPr>
          <w:bCs/>
          <w:i/>
          <w:szCs w:val="24"/>
          <w:lang w:eastAsia="x-none"/>
        </w:rPr>
        <w:t xml:space="preserve">. </w:t>
      </w:r>
      <w:r>
        <w:rPr>
          <w:bCs/>
          <w:szCs w:val="24"/>
        </w:rPr>
        <w:t>Требования к ценообразованию при формировании Коммерческого предложения в составе заявки участника;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bCs/>
          <w:szCs w:val="24"/>
          <w:lang w:eastAsia="x-none"/>
        </w:rPr>
        <w:t>Приложение №</w:t>
      </w:r>
      <w:r>
        <w:rPr>
          <w:bCs/>
          <w:szCs w:val="24"/>
          <w:lang w:val="en-US" w:eastAsia="x-none"/>
        </w:rPr>
        <w:t>3</w:t>
      </w:r>
      <w:r>
        <w:rPr>
          <w:bCs/>
          <w:szCs w:val="24"/>
          <w:lang w:eastAsia="x-none"/>
        </w:rPr>
        <w:t xml:space="preserve">. </w:t>
      </w:r>
      <w:r>
        <w:rPr>
          <w:bCs/>
          <w:szCs w:val="24"/>
        </w:rPr>
        <w:t>Сметная документация;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bCs/>
          <w:szCs w:val="24"/>
        </w:rPr>
        <w:t>Приложение №4. Перечень работ с номерами чертежей;</w:t>
      </w:r>
    </w:p>
    <w:p>
      <w:pPr>
        <w:sectPr>
          <w:headerReference w:type="default" r:id="rId9"/>
          <w:headerReference w:type="first" r:id="rId10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extDirection w:val="lrTb"/>
          <w:docGrid w:type="default" w:linePitch="381" w:charSpace="0"/>
        </w:sectPr>
        <w:pStyle w:val="Normal"/>
        <w:numPr>
          <w:ilvl w:val="0"/>
          <w:numId w:val="8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bCs/>
          <w:szCs w:val="24"/>
        </w:rPr>
        <w:t>Приложение №5. Перечень передаваемых и давальческих материалов.</w:t>
      </w:r>
      <w:r>
        <w:br w:type="page"/>
      </w:r>
    </w:p>
    <w:p>
      <w:pPr>
        <w:pStyle w:val="Normal"/>
        <w:jc w:val="right"/>
        <w:rPr>
          <w:i/>
          <w:i/>
          <w:szCs w:val="24"/>
        </w:rPr>
      </w:pPr>
      <w:r>
        <w:rPr>
          <w:i/>
          <w:szCs w:val="24"/>
        </w:rPr>
        <w:t>Приложение №1 к Техническим требованиям</w:t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widowControl w:val="false"/>
        <w:suppressAutoHyphens w:val="false"/>
        <w:jc w:val="center"/>
        <w:rPr>
          <w:b/>
          <w:szCs w:val="24"/>
        </w:rPr>
      </w:pPr>
      <w:r>
        <w:rPr>
          <w:b/>
          <w:szCs w:val="24"/>
        </w:rPr>
        <w:t>ВЕДОМОСТЬ ОБЪЕМОВ РАБОТ</w:t>
      </w:r>
    </w:p>
    <w:p>
      <w:pPr>
        <w:pStyle w:val="Normal"/>
        <w:rPr>
          <w:i/>
          <w:i/>
          <w:szCs w:val="24"/>
        </w:rPr>
      </w:pPr>
      <w:r>
        <w:rPr>
          <w:b/>
          <w:szCs w:val="24"/>
        </w:rPr>
        <w:t xml:space="preserve">                     </w:t>
      </w:r>
      <w:r>
        <w:rPr>
          <w:szCs w:val="24"/>
        </w:rPr>
        <w:t>Ремонт опорных вкладышей подшипников скольжения турбокомпрессора</w:t>
      </w:r>
    </w:p>
    <w:p>
      <w:pPr>
        <w:pStyle w:val="Normal"/>
        <w:rPr>
          <w:i/>
          <w:i/>
          <w:sz w:val="28"/>
        </w:rPr>
      </w:pPr>
      <w:r>
        <w:rPr>
          <w:i/>
          <w:sz w:val="28"/>
        </w:rPr>
      </w:r>
    </w:p>
    <w:p>
      <w:pPr>
        <w:pStyle w:val="Normal"/>
        <w:rPr>
          <w:i/>
          <w:i/>
          <w:sz w:val="28"/>
        </w:rPr>
      </w:pPr>
      <w:r>
        <w:rPr>
          <w:i/>
          <w:sz w:val="28"/>
        </w:rPr>
      </w:r>
    </w:p>
    <w:tbl>
      <w:tblPr>
        <w:tblpPr w:bottomFromText="0" w:horzAnchor="margin" w:leftFromText="180" w:rightFromText="180" w:tblpX="0" w:tblpY="2769" w:topFromText="0" w:vertAnchor="page"/>
        <w:tblW w:w="9923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43"/>
        <w:gridCol w:w="4744"/>
        <w:gridCol w:w="2261"/>
        <w:gridCol w:w="1134"/>
        <w:gridCol w:w="1141"/>
      </w:tblGrid>
      <w:tr>
        <w:trPr>
          <w:trHeight w:val="720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№ </w:t>
            </w:r>
            <w:r>
              <w:rPr>
                <w:color w:val="000000"/>
                <w:szCs w:val="24"/>
              </w:rPr>
              <w:t>п/п</w:t>
            </w:r>
          </w:p>
        </w:tc>
        <w:tc>
          <w:tcPr>
            <w:tcW w:w="47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</w:t>
            </w:r>
          </w:p>
        </w:tc>
        <w:tc>
          <w:tcPr>
            <w:tcW w:w="2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Обозначение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Ед. изм.</w:t>
            </w:r>
          </w:p>
        </w:tc>
        <w:tc>
          <w:tcPr>
            <w:tcW w:w="11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Кол.</w:t>
            </w:r>
          </w:p>
        </w:tc>
      </w:tr>
      <w:tr>
        <w:trPr>
          <w:trHeight w:val="240" w:hRule="atLeast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47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1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>
        <w:trPr>
          <w:trHeight w:val="543" w:hRule="atLeast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47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Перезаливка вкладыша с последующей механической обработкой опоры № 1 d 300 и проточкой внутреннего диаметра, опора РТ сторона регулирования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Б-261-05-01 СБ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вкладыш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  <w:tr>
        <w:trPr>
          <w:trHeight w:val="412" w:hRule="atLeast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7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Перезаливка вкладыша с последующей механической обработкой опоры № 2 </w:t>
            </w:r>
            <w:r>
              <w:rPr>
                <w:color w:val="000000"/>
                <w:szCs w:val="24"/>
                <w:lang w:val="en-US"/>
              </w:rPr>
              <w:t>d</w:t>
            </w:r>
            <w:r>
              <w:rPr>
                <w:color w:val="000000"/>
                <w:szCs w:val="24"/>
              </w:rPr>
              <w:t xml:space="preserve"> 360 и проточкой внутреннего диаметра, опора РК сторона генератора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Б-261-06-01 СБ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вкладыш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  <w:tr>
        <w:trPr>
          <w:trHeight w:val="450" w:hRule="atLeast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47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Перезаливка вкладыша с последующей механической обработкой опоры № 3 </w:t>
            </w:r>
            <w:r>
              <w:rPr>
                <w:color w:val="000000"/>
                <w:szCs w:val="24"/>
                <w:lang w:val="en-US"/>
              </w:rPr>
              <w:t>d</w:t>
            </w:r>
            <w:r>
              <w:rPr>
                <w:color w:val="000000"/>
                <w:szCs w:val="24"/>
              </w:rPr>
              <w:t xml:space="preserve"> 300 и проточкой внутреннего диаметра, опора РК сторона регулирования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Б-261-05-01 СБ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вкладыш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  <w:tr>
        <w:trPr>
          <w:trHeight w:val="450" w:hRule="atLeast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47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Перезаливка вкладыша с последующей механической обработкой опоры № 4 </w:t>
            </w:r>
            <w:r>
              <w:rPr>
                <w:color w:val="000000"/>
                <w:szCs w:val="24"/>
                <w:lang w:val="en-US"/>
              </w:rPr>
              <w:t>d</w:t>
            </w:r>
            <w:r>
              <w:rPr>
                <w:color w:val="000000"/>
                <w:szCs w:val="24"/>
              </w:rPr>
              <w:t xml:space="preserve"> 300 и проточкой внутреннего диаметра, опора вала генератора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Б-261-04-01 СБ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вкладыш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  <w:tr>
        <w:trPr>
          <w:trHeight w:val="421" w:hRule="atLeast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47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Перезаливка вкладыша с последующей механической обработкой опоры № 5 </w:t>
            </w:r>
            <w:r>
              <w:rPr>
                <w:color w:val="000000"/>
                <w:szCs w:val="24"/>
                <w:lang w:val="en-US"/>
              </w:rPr>
              <w:t>d</w:t>
            </w:r>
            <w:r>
              <w:rPr>
                <w:color w:val="000000"/>
                <w:szCs w:val="24"/>
              </w:rPr>
              <w:t xml:space="preserve"> 300 и проточкой внутреннего диаметра,  опора вала генератора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1М2184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вкладыш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</w:tbl>
    <w:p>
      <w:pPr>
        <w:pStyle w:val="Normal"/>
        <w:rPr>
          <w:i/>
          <w:i/>
          <w:szCs w:val="24"/>
        </w:rPr>
      </w:pPr>
      <w:r>
        <w:rPr>
          <w:i/>
          <w:szCs w:val="24"/>
        </w:rPr>
      </w:r>
    </w:p>
    <w:p>
      <w:pPr>
        <w:pStyle w:val="Normal"/>
        <w:rPr>
          <w:b/>
          <w:i/>
          <w:i/>
          <w:sz w:val="28"/>
        </w:rPr>
      </w:pPr>
      <w:r>
        <w:rPr>
          <w:b/>
          <w:i/>
          <w:sz w:val="28"/>
        </w:rPr>
        <w:t xml:space="preserve">    </w:t>
      </w:r>
    </w:p>
    <w:p>
      <w:pPr>
        <w:pStyle w:val="Normal"/>
        <w:rPr>
          <w:b/>
          <w:i/>
          <w:i/>
          <w:szCs w:val="24"/>
        </w:rPr>
      </w:pPr>
      <w:r>
        <w:rPr>
          <w:b/>
          <w:i/>
          <w:sz w:val="28"/>
        </w:rPr>
        <w:t xml:space="preserve">    </w:t>
      </w:r>
    </w:p>
    <w:p>
      <w:pPr>
        <w:pStyle w:val="Normal"/>
        <w:rPr>
          <w:b/>
          <w:i/>
          <w:i/>
          <w:szCs w:val="24"/>
        </w:rPr>
      </w:pPr>
      <w:r>
        <w:rPr>
          <w:b/>
          <w:i/>
          <w:szCs w:val="24"/>
        </w:rPr>
        <w:t xml:space="preserve">      </w:t>
      </w:r>
    </w:p>
    <w:p>
      <w:pPr>
        <w:pStyle w:val="Normal"/>
        <w:rPr>
          <w:b/>
          <w:szCs w:val="24"/>
        </w:rPr>
      </w:pPr>
      <w:r>
        <w:rPr>
          <w:b/>
          <w:i/>
          <w:szCs w:val="24"/>
        </w:rPr>
        <w:t xml:space="preserve">      </w:t>
      </w:r>
      <w:r>
        <w:rPr>
          <w:b/>
          <w:szCs w:val="24"/>
        </w:rPr>
        <w:t>Важно:</w:t>
      </w:r>
    </w:p>
    <w:p>
      <w:pPr>
        <w:pStyle w:val="ListParagraph"/>
        <w:numPr>
          <w:ilvl w:val="0"/>
          <w:numId w:val="12"/>
        </w:numPr>
        <w:rPr/>
      </w:pPr>
      <w:r>
        <w:rPr>
          <w:color w:val="000000"/>
        </w:rPr>
        <w:t xml:space="preserve">Толщина баббитового слоя и размер внутреннего диаметра вкладышей согласовывается с Заказчиком. </w:t>
      </w:r>
    </w:p>
    <w:p>
      <w:pPr>
        <w:pStyle w:val="ListParagraph"/>
        <w:numPr>
          <w:ilvl w:val="0"/>
          <w:numId w:val="12"/>
        </w:numPr>
        <w:rPr/>
      </w:pPr>
      <w:r>
        <w:rPr/>
        <w:t xml:space="preserve">Таблица необходимых диаметров будет составлена после вскрытия ГТЭ-45-3 ст. № </w:t>
      </w:r>
      <w:r>
        <w:rPr/>
        <w:t>4</w:t>
      </w:r>
      <w:r>
        <w:rPr/>
        <w:t xml:space="preserve">, и будет направлена Заказчиком. </w:t>
      </w:r>
    </w:p>
    <w:p>
      <w:pPr>
        <w:pStyle w:val="ListParagraph"/>
        <w:numPr>
          <w:ilvl w:val="0"/>
          <w:numId w:val="12"/>
        </w:numPr>
        <w:rPr/>
      </w:pPr>
      <w:r>
        <w:rPr/>
        <w:t>Материал баббита – Б 83.</w:t>
      </w:r>
    </w:p>
    <w:p>
      <w:pPr>
        <w:pStyle w:val="Normal"/>
        <w:spacing w:lineRule="auto" w:line="360" w:before="0" w:after="20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  <w:t xml:space="preserve">    </w:t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  <w:bookmarkStart w:id="60" w:name="_GoBack"/>
      <w:bookmarkStart w:id="61" w:name="_GoBack"/>
      <w:bookmarkEnd w:id="61"/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i/>
          <w:szCs w:val="24"/>
        </w:rPr>
        <w:t>Приложение №2 к Техническим требованиям</w:t>
      </w:r>
    </w:p>
    <w:p>
      <w:pPr>
        <w:pStyle w:val="Normal"/>
        <w:jc w:val="right"/>
        <w:rPr>
          <w:i/>
          <w:i/>
          <w:szCs w:val="24"/>
        </w:rPr>
      </w:pPr>
      <w:r>
        <w:rPr>
          <w:i/>
          <w:szCs w:val="24"/>
        </w:rPr>
      </w:r>
    </w:p>
    <w:p>
      <w:pPr>
        <w:pStyle w:val="NoSpacing"/>
        <w:jc w:val="center"/>
        <w:rPr/>
      </w:pPr>
      <w:bookmarkStart w:id="62" w:name="_Toc124950369"/>
      <w:bookmarkStart w:id="63" w:name="_Toc54451385"/>
      <w:r>
        <w:rPr>
          <w:b/>
        </w:rPr>
        <w:t>Требования к оформлению и составлению документации по ценообразованию</w:t>
      </w:r>
      <w:bookmarkEnd w:id="62"/>
      <w:bookmarkEnd w:id="63"/>
    </w:p>
    <w:p>
      <w:pPr>
        <w:pStyle w:val="Normal"/>
        <w:rPr>
          <w:szCs w:val="24"/>
          <w:lang w:val="x-none" w:eastAsia="x-none"/>
        </w:rPr>
      </w:pPr>
      <w:r>
        <w:rPr>
          <w:szCs w:val="24"/>
          <w:lang w:val="x-none" w:eastAsia="x-none"/>
        </w:rPr>
      </w:r>
      <w:bookmarkStart w:id="64" w:name="_Ref40301253_Копия_1"/>
      <w:bookmarkStart w:id="65" w:name="_Hlk48224758_Копия_1"/>
      <w:bookmarkStart w:id="66" w:name="_Ref40301253_Копия_1"/>
      <w:bookmarkStart w:id="67" w:name="_Hlk48224758_Копия_1"/>
      <w:bookmarkEnd w:id="66"/>
      <w:bookmarkEnd w:id="67"/>
    </w:p>
    <w:p>
      <w:pPr>
        <w:pStyle w:val="Normal"/>
        <w:rPr>
          <w:szCs w:val="24"/>
        </w:rPr>
      </w:pPr>
      <w:r>
        <w:rPr>
          <w:szCs w:val="24"/>
        </w:rPr>
        <w:t>1.</w:t>
        <w:tab/>
        <w:t>Стоимость предложений участников определяется по формуле: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  <w:t>P=N*k,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где  P – стоимость предложения участника;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N – начальная (максимальная) цена договорная (цена лота), определенная в соответствии со сметной документацией Заказчика, представленной в составе Документации о закупке;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k  – понижающий коэффициент, заявленный участником в расчете цен заявки, величину данного коэффициента рекомендуется учитывать с округлением до 3 знаков после запятой.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 xml:space="preserve">       </w:t>
      </w:r>
      <w:r>
        <w:rPr>
          <w:szCs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2.</w:t>
        <w:tab/>
        <w:t>Участник формирует стоимость своей заявки с учетом понижающего коэффициента, указанного в п. 1 настоящих требований.</w:t>
      </w:r>
    </w:p>
    <w:p>
      <w:pPr>
        <w:sectPr>
          <w:headerReference w:type="default" r:id="rId11"/>
          <w:headerReference w:type="first" r:id="rId12"/>
          <w:footerReference w:type="default" r:id="rId13"/>
          <w:type w:val="nextPage"/>
          <w:pgSz w:w="11906" w:h="16838"/>
          <w:pgMar w:left="1134" w:right="851" w:gutter="0" w:header="680" w:top="1134" w:footer="737" w:bottom="992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jc w:val="both"/>
        <w:rPr>
          <w:szCs w:val="24"/>
        </w:rPr>
      </w:pPr>
      <w:r>
        <w:rPr>
          <w:szCs w:val="24"/>
        </w:rPr>
        <w:t>3.</w:t>
        <w:tab/>
        <w:t>Внесение изменений в сметную документацию Заказчика, кроме применения понижающего коэффициента, не допускается.</w:t>
      </w:r>
      <w:r>
        <w:br w:type="page"/>
      </w:r>
    </w:p>
    <w:p>
      <w:pPr>
        <w:pStyle w:val="Normal"/>
        <w:jc w:val="right"/>
        <w:rPr>
          <w:szCs w:val="24"/>
        </w:rPr>
      </w:pPr>
      <w:r>
        <w:rPr>
          <w:i/>
          <w:szCs w:val="24"/>
        </w:rPr>
        <w:t>Приложение №3 к Техническим требованиям</w:t>
      </w:r>
    </w:p>
    <w:p>
      <w:pPr>
        <w:pStyle w:val="Normal"/>
        <w:jc w:val="center"/>
        <w:rPr>
          <w:szCs w:val="24"/>
        </w:rPr>
      </w:pPr>
      <w:r>
        <w:rPr>
          <w:bCs/>
          <w:i/>
          <w:szCs w:val="24"/>
        </w:rPr>
        <w:t>Сметная документация</w:t>
      </w:r>
    </w:p>
    <w:sectPr>
      <w:headerReference w:type="default" r:id="rId14"/>
      <w:headerReference w:type="first" r:id="rId15"/>
      <w:footerReference w:type="default" r:id="rId16"/>
      <w:footerReference w:type="first" r:id="rId17"/>
      <w:type w:val="nextPage"/>
      <w:pgSz w:orient="landscape" w:w="16838" w:h="11906"/>
      <w:pgMar w:left="992" w:right="1134" w:gutter="0" w:header="680" w:top="1134" w:footer="737" w:bottom="851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6124578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shadow w:val="false"/>
        <w:u w:val="none"/>
        <w:b w:val="false"/>
        <w:kern w:val="0"/>
        <w:effect w:val="none"/>
        <w:szCs w:val="24"/>
        <w:iCs w:val="false"/>
        <w:bCs w:val="false"/>
        <w:em w:val="none"/>
        <w:emboss w:val="false"/>
        <w:imprint w:val="false"/>
        <w:vanish w:val="false"/>
        <w:rFonts w:ascii="Times New Roman" w:hAnsi="Times New Roman" w:cs="Times New Roman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 w:val="fals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95" w:hanging="375"/>
      </w:pPr>
      <w:rPr>
        <w:i w:val="fals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i w:val="fals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  <w:rPr>
        <w:i w:val="fals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i w:val="fals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440"/>
      </w:pPr>
      <w:rPr>
        <w:i w:val="fals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i w:val="fals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1800"/>
      </w:pPr>
      <w:rPr>
        <w:i w:val="fals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160"/>
      </w:pPr>
      <w:rPr>
        <w:i w:val="fals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uiPriority="99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6709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4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2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Без интервала Знак"/>
    <w:basedOn w:val="DefaultParagraphFont"/>
    <w:link w:val="NoSpacing"/>
    <w:qFormat/>
    <w:rsid w:val="0003795b"/>
    <w:rPr>
      <w:rFonts w:eastAsia="Calibri"/>
      <w:sz w:val="24"/>
      <w:szCs w:val="24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d0b93"/>
    <w:rPr>
      <w:sz w:val="24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23161"/>
    <w:rPr>
      <w:color w:val="954F72"/>
      <w:u w:val="single"/>
    </w:rPr>
  </w:style>
  <w:style w:type="character" w:styleId="Style16" w:customStyle="1">
    <w:name w:val="Ссылка указателя"/>
    <w:qFormat/>
    <w:rPr/>
  </w:style>
  <w:style w:type="character" w:styleId="Style17" w:customStyle="1">
    <w:name w:val="Маркеры"/>
    <w:qFormat/>
    <w:rPr>
      <w:rFonts w:ascii="OpenSymbol" w:hAnsi="OpenSymbol" w:eastAsia="OpenSymbol" w:cs="OpenSymbol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Style20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1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3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Cs w:val="24"/>
    </w:rPr>
  </w:style>
  <w:style w:type="paragraph" w:styleId="Footer">
    <w:name w:val="Footer"/>
    <w:basedOn w:val="Normal"/>
    <w:link w:val="Style15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Cs w:val="20"/>
    </w:rPr>
  </w:style>
  <w:style w:type="paragraph" w:styleId="Style24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Cs w:val="24"/>
    </w:rPr>
  </w:style>
  <w:style w:type="paragraph" w:styleId="TOC3">
    <w:name w:val="TOC 3"/>
    <w:basedOn w:val="Normal"/>
    <w:next w:val="Normal"/>
    <w:autoRedefine/>
    <w:uiPriority w:val="39"/>
    <w:rsid w:val="00e23161"/>
    <w:pPr>
      <w:tabs>
        <w:tab w:val="clear" w:pos="708"/>
        <w:tab w:val="left" w:pos="1134" w:leader="none"/>
        <w:tab w:val="right" w:pos="9911" w:leader="dot"/>
      </w:tabs>
      <w:ind w:left="280" w:hanging="0"/>
    </w:pPr>
    <w:rPr>
      <w:rFonts w:cs="Calibri" w:cstheme="minorHAnsi"/>
      <w:sz w:val="20"/>
      <w:szCs w:val="20"/>
    </w:rPr>
  </w:style>
  <w:style w:type="paragraph" w:styleId="Style25" w:customStyle="1">
    <w:name w:val="Раздел регламента"/>
    <w:basedOn w:val="Normal"/>
    <w:qFormat/>
    <w:rsid w:val="00e228fa"/>
    <w:pPr/>
    <w:rPr/>
  </w:style>
  <w:style w:type="paragraph" w:styleId="Style26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link w:val="Style14"/>
    <w:qFormat/>
    <w:rsid w:val="00d22f6d"/>
    <w:pPr>
      <w:spacing w:lineRule="auto" w:line="360"/>
    </w:pPr>
    <w:rPr>
      <w:rFonts w:eastAsia="Calibri"/>
      <w:szCs w:val="24"/>
    </w:rPr>
  </w:style>
  <w:style w:type="paragraph" w:styleId="Caption1111111" w:customStyle="1">
    <w:name w:val="caption11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Cs w:val="24"/>
      <w:lang w:val="x-none" w:eastAsia="x-none"/>
    </w:rPr>
  </w:style>
  <w:style w:type="paragraph" w:styleId="Style28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Cs w:val="24"/>
      <w:lang w:val="x-none" w:eastAsia="x-none"/>
    </w:rPr>
  </w:style>
  <w:style w:type="paragraph" w:styleId="Style31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2" w:customStyle="1">
    <w:name w:val="Подподпункт"/>
    <w:basedOn w:val="Style24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3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Cs w:val="20"/>
      <w:lang w:eastAsia="x-none"/>
    </w:rPr>
  </w:style>
  <w:style w:type="paragraph" w:styleId="Style35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Xl74" w:customStyle="1">
    <w:name w:val="xl74"/>
    <w:basedOn w:val="Normal"/>
    <w:qFormat/>
    <w:rsid w:val="002651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styleId="Xl99" w:customStyle="1">
    <w:name w:val="xl99"/>
    <w:basedOn w:val="Normal"/>
    <w:qFormat/>
    <w:rsid w:val="002651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Cs w:val="24"/>
    </w:rPr>
  </w:style>
  <w:style w:type="paragraph" w:styleId="Default" w:customStyle="1">
    <w:name w:val="Default"/>
    <w:qFormat/>
    <w:rsid w:val="001d0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Msonormal" w:customStyle="1">
    <w:name w:val="msonormal"/>
    <w:basedOn w:val="Normal"/>
    <w:qFormat/>
    <w:rsid w:val="00e23161"/>
    <w:pPr>
      <w:spacing w:beforeAutospacing="1" w:afterAutospacing="1"/>
    </w:pPr>
    <w:rPr>
      <w:szCs w:val="24"/>
    </w:rPr>
  </w:style>
  <w:style w:type="paragraph" w:styleId="Xl63" w:customStyle="1">
    <w:name w:val="xl63"/>
    <w:basedOn w:val="Normal"/>
    <w:qFormat/>
    <w:rsid w:val="00e23161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styleId="Xl64" w:customStyle="1">
    <w:name w:val="xl64"/>
    <w:basedOn w:val="Normal"/>
    <w:qFormat/>
    <w:rsid w:val="00e23161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styleId="Xl65" w:customStyle="1">
    <w:name w:val="xl65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66" w:customStyle="1">
    <w:name w:val="xl66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67" w:customStyle="1">
    <w:name w:val="xl67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68" w:customStyle="1">
    <w:name w:val="xl68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69" w:customStyle="1">
    <w:name w:val="xl69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styleId="Xl70" w:customStyle="1">
    <w:name w:val="xl70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71" w:customStyle="1">
    <w:name w:val="xl71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72" w:customStyle="1">
    <w:name w:val="xl72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73" w:customStyle="1">
    <w:name w:val="xl73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75" w:customStyle="1">
    <w:name w:val="xl75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76" w:customStyle="1">
    <w:name w:val="xl76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77" w:customStyle="1">
    <w:name w:val="xl77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78" w:customStyle="1">
    <w:name w:val="xl78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79" w:customStyle="1">
    <w:name w:val="xl79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0" w:customStyle="1">
    <w:name w:val="xl80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81" w:customStyle="1">
    <w:name w:val="xl81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2" w:customStyle="1">
    <w:name w:val="xl82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3" w:customStyle="1">
    <w:name w:val="xl83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84" w:customStyle="1">
    <w:name w:val="xl84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85" w:customStyle="1">
    <w:name w:val="xl85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6" w:customStyle="1">
    <w:name w:val="xl86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7" w:customStyle="1">
    <w:name w:val="xl87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8" w:customStyle="1">
    <w:name w:val="xl88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9" w:customStyle="1">
    <w:name w:val="xl89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90" w:customStyle="1">
    <w:name w:val="xl90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91" w:customStyle="1">
    <w:name w:val="xl91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92" w:customStyle="1">
    <w:name w:val="xl92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93" w:customStyle="1">
    <w:name w:val="xl93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94" w:customStyle="1">
    <w:name w:val="xl94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95" w:customStyle="1">
    <w:name w:val="xl95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96" w:customStyle="1">
    <w:name w:val="xl96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styleId="Xl98" w:customStyle="1">
    <w:name w:val="xl98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100" w:customStyle="1">
    <w:name w:val="xl100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01" w:customStyle="1">
    <w:name w:val="xl101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102" w:customStyle="1">
    <w:name w:val="xl102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103" w:customStyle="1">
    <w:name w:val="xl103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04" w:customStyle="1">
    <w:name w:val="xl104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Cs w:val="24"/>
    </w:rPr>
  </w:style>
  <w:style w:type="paragraph" w:styleId="Xl105" w:customStyle="1">
    <w:name w:val="xl105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06" w:customStyle="1">
    <w:name w:val="xl106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07" w:customStyle="1">
    <w:name w:val="xl107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08" w:customStyle="1">
    <w:name w:val="xl108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109" w:customStyle="1">
    <w:name w:val="xl109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0" w:customStyle="1">
    <w:name w:val="xl110"/>
    <w:basedOn w:val="Normal"/>
    <w:qFormat/>
    <w:rsid w:val="007c5a15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1" w:customStyle="1">
    <w:name w:val="xl111"/>
    <w:basedOn w:val="Normal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112" w:customStyle="1">
    <w:name w:val="xl112"/>
    <w:basedOn w:val="Normal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3" w:customStyle="1">
    <w:name w:val="xl113"/>
    <w:basedOn w:val="Normal"/>
    <w:qFormat/>
    <w:rsid w:val="007c5a15"/>
    <w:pP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4" w:customStyle="1">
    <w:name w:val="xl114"/>
    <w:basedOn w:val="Normal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5" w:customStyle="1">
    <w:name w:val="xl115"/>
    <w:basedOn w:val="Normal"/>
    <w:qFormat/>
    <w:rsid w:val="007c5a15"/>
    <w:pP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6" w:customStyle="1">
    <w:name w:val="xl116"/>
    <w:basedOn w:val="Normal"/>
    <w:qFormat/>
    <w:rsid w:val="007c5a15"/>
    <w:pPr>
      <w:pBdr>
        <w:top w:val="single" w:sz="4" w:space="0" w:color="000000"/>
        <w:lef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8" w:customStyle="1">
    <w:name w:val="xl118"/>
    <w:basedOn w:val="Normal"/>
    <w:qFormat/>
    <w:rsid w:val="007c5a15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9" w:customStyle="1">
    <w:name w:val="xl119"/>
    <w:basedOn w:val="Normal"/>
    <w:qFormat/>
    <w:rsid w:val="007c5a15"/>
    <w:pPr>
      <w:pBdr>
        <w:lef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120" w:customStyle="1">
    <w:name w:val="xl120"/>
    <w:basedOn w:val="Normal"/>
    <w:qFormat/>
    <w:rsid w:val="007c5a15"/>
    <w:pPr>
      <w:pBdr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121" w:customStyle="1">
    <w:name w:val="xl121"/>
    <w:basedOn w:val="Normal"/>
    <w:qFormat/>
    <w:rsid w:val="007c5a15"/>
    <w:pPr>
      <w:pBdr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122" w:customStyle="1">
    <w:name w:val="xl122"/>
    <w:basedOn w:val="Normal"/>
    <w:qFormat/>
    <w:rsid w:val="007c5a15"/>
    <w:pP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23" w:customStyle="1">
    <w:name w:val="xl123"/>
    <w:basedOn w:val="Normal"/>
    <w:qFormat/>
    <w:rsid w:val="007c5a15"/>
    <w:pPr>
      <w:pBdr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24" w:customStyle="1">
    <w:name w:val="xl124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125" w:customStyle="1">
    <w:name w:val="xl125"/>
    <w:basedOn w:val="Normal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styleId="Xl126" w:customStyle="1">
    <w:name w:val="xl126"/>
    <w:basedOn w:val="Normal"/>
    <w:qFormat/>
    <w:rsid w:val="007c5a15"/>
    <w:pP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27" w:customStyle="1">
    <w:name w:val="xl127"/>
    <w:basedOn w:val="Normal"/>
    <w:qFormat/>
    <w:rsid w:val="007c5a15"/>
    <w:pPr>
      <w:pBdr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28" w:customStyle="1">
    <w:name w:val="xl128"/>
    <w:basedOn w:val="Normal"/>
    <w:qFormat/>
    <w:rsid w:val="007c5a15"/>
    <w:pP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29" w:customStyle="1">
    <w:name w:val="xl129"/>
    <w:basedOn w:val="Normal"/>
    <w:qFormat/>
    <w:rsid w:val="007c5a15"/>
    <w:pPr>
      <w:pBdr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30" w:customStyle="1">
    <w:name w:val="xl130"/>
    <w:basedOn w:val="Normal"/>
    <w:qFormat/>
    <w:rsid w:val="007c5a15"/>
    <w:pPr>
      <w:pBdr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31" w:customStyle="1">
    <w:name w:val="xl131"/>
    <w:basedOn w:val="Normal"/>
    <w:qFormat/>
    <w:rsid w:val="007c5a15"/>
    <w:pPr>
      <w:spacing w:beforeAutospacing="1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styleId="Xl132" w:customStyle="1">
    <w:name w:val="xl132"/>
    <w:basedOn w:val="Normal"/>
    <w:qFormat/>
    <w:rsid w:val="007c5a1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33" w:customStyle="1">
    <w:name w:val="xl133"/>
    <w:basedOn w:val="Normal"/>
    <w:qFormat/>
    <w:rsid w:val="007c5a15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34" w:customStyle="1">
    <w:name w:val="xl134"/>
    <w:basedOn w:val="Normal"/>
    <w:qFormat/>
    <w:rsid w:val="007c5a1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35" w:customStyle="1">
    <w:name w:val="xl135"/>
    <w:basedOn w:val="Normal"/>
    <w:qFormat/>
    <w:rsid w:val="007c5a1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36" w:customStyle="1">
    <w:name w:val="xl136"/>
    <w:basedOn w:val="Normal"/>
    <w:qFormat/>
    <w:rsid w:val="007c5a1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37" w:customStyle="1">
    <w:name w:val="xl137"/>
    <w:basedOn w:val="Normal"/>
    <w:qFormat/>
    <w:rsid w:val="007c5a1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38" w:customStyle="1">
    <w:name w:val="xl138"/>
    <w:basedOn w:val="Normal"/>
    <w:qFormat/>
    <w:rsid w:val="007c5a15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39" w:customStyle="1">
    <w:name w:val="xl139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0" w:customStyle="1">
    <w:name w:val="xl140"/>
    <w:basedOn w:val="Normal"/>
    <w:qFormat/>
    <w:rsid w:val="007c5a15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1" w:customStyle="1">
    <w:name w:val="xl141"/>
    <w:basedOn w:val="Normal"/>
    <w:qFormat/>
    <w:rsid w:val="007c5a15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2" w:customStyle="1">
    <w:name w:val="xl142"/>
    <w:basedOn w:val="Normal"/>
    <w:qFormat/>
    <w:rsid w:val="007c5a15"/>
    <w:pP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3" w:customStyle="1">
    <w:name w:val="xl143"/>
    <w:basedOn w:val="Normal"/>
    <w:qFormat/>
    <w:rsid w:val="007c5a15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4" w:customStyle="1">
    <w:name w:val="xl144"/>
    <w:basedOn w:val="Normal"/>
    <w:qFormat/>
    <w:rsid w:val="007c5a15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5" w:customStyle="1">
    <w:name w:val="xl145"/>
    <w:basedOn w:val="Normal"/>
    <w:qFormat/>
    <w:rsid w:val="007c5a15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6" w:customStyle="1">
    <w:name w:val="xl146"/>
    <w:basedOn w:val="Normal"/>
    <w:qFormat/>
    <w:rsid w:val="007c5a15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Style37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25281045251" w:customStyle="1">
    <w:name w:val="2528104525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b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https://corp.yakutskenergo.ru/documents/files/STO-00-022.01-22-20221226155059.pdf" TargetMode="External"/><Relationship Id="rId6" Type="http://schemas.openxmlformats.org/officeDocument/2006/relationships/hyperlink" Target="https://yakutskenergo.ru/procurement/information-for-partners" TargetMode="External"/><Relationship Id="rId7" Type="http://schemas.openxmlformats.org/officeDocument/2006/relationships/header" Target="header4.xm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header" Target="header7.xml"/><Relationship Id="rId11" Type="http://schemas.openxmlformats.org/officeDocument/2006/relationships/header" Target="header8.xml"/><Relationship Id="rId12" Type="http://schemas.openxmlformats.org/officeDocument/2006/relationships/header" Target="header9.xml"/><Relationship Id="rId13" Type="http://schemas.openxmlformats.org/officeDocument/2006/relationships/footer" Target="footer1.xml"/><Relationship Id="rId14" Type="http://schemas.openxmlformats.org/officeDocument/2006/relationships/header" Target="header10.xml"/><Relationship Id="rId15" Type="http://schemas.openxmlformats.org/officeDocument/2006/relationships/header" Target="header11.xml"/><Relationship Id="rId16" Type="http://schemas.openxmlformats.org/officeDocument/2006/relationships/footer" Target="footer2.xml"/><Relationship Id="rId17" Type="http://schemas.openxmlformats.org/officeDocument/2006/relationships/footer" Target="footer3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<Relationship Id="rId2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8507-5056-4830-95F8-599AE622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Application>AlterOffice/3.4.0.9$Linux_X86_64 LibreOffice_project/b8daf9e823b1a5463a2f48435ddc2e8696e7d4fc</Application>
  <AppVersion>15.0000</AppVersion>
  <Pages>16</Pages>
  <Words>2302</Words>
  <Characters>15845</Characters>
  <CharactersWithSpaces>17846</CharactersWithSpaces>
  <Paragraphs>363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2025-10-02T06:21:00Z</dcterms:created>
  <dc:creator>Solovev-VV@yakutskenergo.ru</dc:creator>
  <dc:description/>
  <dc:language>ru-RU</dc:language>
  <cp:lastModifiedBy>efremovas</cp:lastModifiedBy>
  <cp:lastPrinted>2025-12-02T05:59:00Z</cp:lastPrinted>
  <dcterms:modified xsi:type="dcterms:W3CDTF">2026-06-15T14:30:05Z</dcterms:modified>
  <cp:revision>38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